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4287A" w14:textId="62F571DC" w:rsidR="00C3374C" w:rsidRPr="00376278" w:rsidRDefault="00C3374C" w:rsidP="009E025C">
      <w:pPr>
        <w:spacing w:line="360" w:lineRule="auto"/>
        <w:ind w:left="720" w:hanging="720"/>
        <w:jc w:val="both"/>
        <w:rPr>
          <w:b/>
          <w:bCs/>
          <w:lang w:val="hu-HU"/>
        </w:rPr>
      </w:pPr>
      <w:r w:rsidRPr="00376278">
        <w:rPr>
          <w:b/>
          <w:bCs/>
          <w:lang w:val="hu-HU"/>
        </w:rPr>
        <w:t>Radovi</w:t>
      </w:r>
    </w:p>
    <w:p w14:paraId="120C8BE6" w14:textId="77777777" w:rsidR="00376278" w:rsidRPr="00376278" w:rsidRDefault="00376278" w:rsidP="009E025C">
      <w:pPr>
        <w:spacing w:line="360" w:lineRule="auto"/>
        <w:ind w:left="720" w:hanging="720"/>
        <w:jc w:val="both"/>
        <w:rPr>
          <w:b/>
          <w:bCs/>
          <w:lang w:val="hu-HU"/>
        </w:rPr>
      </w:pPr>
    </w:p>
    <w:p w14:paraId="4509A119" w14:textId="2198A1B6" w:rsidR="00BD7997" w:rsidRPr="00BD7997" w:rsidRDefault="00F01A44" w:rsidP="00BD7997">
      <w:pPr>
        <w:spacing w:before="240" w:after="240" w:line="360" w:lineRule="auto"/>
        <w:ind w:left="720" w:hanging="720"/>
        <w:jc w:val="both"/>
        <w:rPr>
          <w:b/>
          <w:bCs/>
          <w:iCs/>
          <w:shd w:val="clear" w:color="auto" w:fill="FFFFFF"/>
        </w:rPr>
      </w:pPr>
      <w:r w:rsidRPr="00F01A44">
        <w:rPr>
          <w:iCs/>
          <w:shd w:val="clear" w:color="auto" w:fill="FFFFFF"/>
        </w:rPr>
        <w:t xml:space="preserve">Juhász Tóth, T. (2026). A jugoszláv önigazgatási rendszer nyelvezetének néhány sajátosságáról és magyar fordításáról. </w:t>
      </w:r>
      <w:r w:rsidRPr="00F01A44">
        <w:rPr>
          <w:i/>
          <w:iCs/>
          <w:shd w:val="clear" w:color="auto" w:fill="FFFFFF"/>
        </w:rPr>
        <w:t>Hungarológiai Közlemények, 27</w:t>
      </w:r>
      <w:r w:rsidRPr="00F01A44">
        <w:rPr>
          <w:iCs/>
          <w:shd w:val="clear" w:color="auto" w:fill="FFFFFF"/>
        </w:rPr>
        <w:t xml:space="preserve">(2), 123–135. </w:t>
      </w:r>
      <w:r w:rsidRPr="00F01A44">
        <w:rPr>
          <w:b/>
          <w:bCs/>
          <w:iCs/>
          <w:shd w:val="clear" w:color="auto" w:fill="FFFFFF"/>
        </w:rPr>
        <w:t>Prihvaćeno za štampu</w:t>
      </w:r>
      <w:r w:rsidR="00E122D7">
        <w:rPr>
          <w:b/>
          <w:bCs/>
          <w:iCs/>
          <w:shd w:val="clear" w:color="auto" w:fill="FFFFFF"/>
        </w:rPr>
        <w:t>, uverenje u prilogu</w:t>
      </w:r>
      <w:r w:rsidRPr="00F01A44">
        <w:rPr>
          <w:b/>
          <w:bCs/>
          <w:iCs/>
          <w:shd w:val="clear" w:color="auto" w:fill="FFFFFF"/>
        </w:rPr>
        <w:t>. M51</w:t>
      </w:r>
    </w:p>
    <w:p w14:paraId="31A5A722" w14:textId="6E4464AF" w:rsidR="00BD7997" w:rsidRPr="00BD7997" w:rsidRDefault="00BD7997" w:rsidP="00BD7997">
      <w:pPr>
        <w:pStyle w:val="TOC1"/>
        <w:spacing w:before="0" w:after="240" w:line="360" w:lineRule="auto"/>
        <w:ind w:left="720" w:hanging="720"/>
        <w:jc w:val="both"/>
        <w:rPr>
          <w:b/>
          <w:bCs/>
          <w:color w:val="231F20"/>
          <w:sz w:val="24"/>
          <w:szCs w:val="24"/>
          <w:lang w:val="hu-HU"/>
        </w:rPr>
      </w:pPr>
      <w:r w:rsidRPr="00376278">
        <w:rPr>
          <w:color w:val="231F20"/>
          <w:sz w:val="24"/>
          <w:szCs w:val="24"/>
          <w:lang w:val="hu-HU"/>
        </w:rPr>
        <w:t xml:space="preserve">Juhász Tóth, T. (2025a). Lexikai átváltási műveletek a jogi-közigazgatási jellegű szakszövegek szerbről magyarra történő fordításaiban. In: Lehocki-Samardžić, A. (szerk.). </w:t>
      </w:r>
      <w:r w:rsidRPr="00376278">
        <w:rPr>
          <w:i/>
          <w:iCs/>
          <w:color w:val="231F20"/>
          <w:sz w:val="24"/>
          <w:szCs w:val="24"/>
          <w:lang w:val="hu-HU"/>
        </w:rPr>
        <w:t>Innováció és nyelvi közvetítés – Kommunikáció és nyelv V. című nemzetközi szakmai és tudományos konferencia kötete</w:t>
      </w:r>
      <w:r w:rsidRPr="00376278">
        <w:rPr>
          <w:color w:val="231F20"/>
          <w:sz w:val="24"/>
          <w:szCs w:val="24"/>
          <w:lang w:val="hu-HU"/>
        </w:rPr>
        <w:t>. Eszék: Glotta Nyelvi Intézet. 56–62.</w:t>
      </w:r>
      <w:r>
        <w:rPr>
          <w:color w:val="231F20"/>
          <w:sz w:val="24"/>
          <w:szCs w:val="24"/>
          <w:lang w:val="hu-HU"/>
        </w:rPr>
        <w:t xml:space="preserve"> </w:t>
      </w:r>
      <w:r>
        <w:rPr>
          <w:b/>
          <w:bCs/>
          <w:color w:val="231F20"/>
          <w:sz w:val="24"/>
          <w:szCs w:val="24"/>
          <w:lang w:val="hu-HU"/>
        </w:rPr>
        <w:t>M33</w:t>
      </w:r>
    </w:p>
    <w:p w14:paraId="2F6337F9" w14:textId="3C889AF6" w:rsidR="00BD7997" w:rsidRPr="00BD7997" w:rsidRDefault="00BD7997" w:rsidP="00BD7997">
      <w:pPr>
        <w:spacing w:before="240" w:after="120" w:line="360" w:lineRule="auto"/>
        <w:ind w:left="851" w:hanging="851"/>
        <w:jc w:val="both"/>
        <w:rPr>
          <w:b/>
          <w:bCs/>
          <w:color w:val="231F20"/>
          <w:lang w:val="hu-HU"/>
        </w:rPr>
      </w:pPr>
      <w:r w:rsidRPr="00376278">
        <w:rPr>
          <w:color w:val="231F20"/>
          <w:lang w:val="hu-HU"/>
        </w:rPr>
        <w:t xml:space="preserve">Juhas Tot, T. (2025b). Tehnike stilističkog i pragmatičkog transfera u prevodima </w:t>
      </w:r>
      <w:r w:rsidRPr="00376278">
        <w:rPr>
          <w:i/>
          <w:iCs/>
          <w:color w:val="231F20"/>
          <w:lang w:val="hu-HU"/>
        </w:rPr>
        <w:t>Službenog lista Autonomne Pokrajine Vojvodine</w:t>
      </w:r>
      <w:r w:rsidRPr="00376278">
        <w:rPr>
          <w:color w:val="231F20"/>
          <w:lang w:val="hu-HU"/>
        </w:rPr>
        <w:t xml:space="preserve"> sa srpskog na mađarski. In: Dudás, M. (ed.). </w:t>
      </w:r>
      <w:r w:rsidRPr="00376278">
        <w:rPr>
          <w:i/>
          <w:iCs/>
          <w:color w:val="231F20"/>
          <w:lang w:val="hu-HU"/>
        </w:rPr>
        <w:t>11th Conference for Young Slavists in Budapest</w:t>
      </w:r>
      <w:r w:rsidRPr="00376278">
        <w:rPr>
          <w:color w:val="231F20"/>
          <w:lang w:val="hu-HU"/>
        </w:rPr>
        <w:t>. Budapest: Faculty of Humanities, Eötvös Loránd University. 200–205.</w:t>
      </w:r>
      <w:r>
        <w:rPr>
          <w:color w:val="231F20"/>
          <w:lang w:val="hu-HU"/>
        </w:rPr>
        <w:t xml:space="preserve"> </w:t>
      </w:r>
      <w:r>
        <w:rPr>
          <w:b/>
          <w:bCs/>
          <w:color w:val="231F20"/>
          <w:lang w:val="hu-HU"/>
        </w:rPr>
        <w:t>M33</w:t>
      </w:r>
    </w:p>
    <w:p w14:paraId="22D7FE2D" w14:textId="683FC5BA" w:rsidR="00BD7997" w:rsidRPr="00BD7997" w:rsidRDefault="00BD7997" w:rsidP="00BD7997">
      <w:pPr>
        <w:spacing w:after="120" w:line="360" w:lineRule="auto"/>
        <w:ind w:left="851" w:hanging="851"/>
        <w:jc w:val="both"/>
        <w:rPr>
          <w:b/>
          <w:bCs/>
          <w:lang w:val="hu-HU"/>
        </w:rPr>
      </w:pPr>
      <w:r w:rsidRPr="00376278">
        <w:rPr>
          <w:lang w:val="hu-HU"/>
        </w:rPr>
        <w:t xml:space="preserve">Juhász Tóth, T. (2024a). A Vajdaság Autonóm Tartomány hivatalos lapjának magyar fordításában tapasztalt grammatikai átváltási műveletekről. </w:t>
      </w:r>
      <w:r w:rsidRPr="00376278">
        <w:rPr>
          <w:i/>
          <w:iCs/>
          <w:lang w:val="hu-HU"/>
        </w:rPr>
        <w:t>Hungarológiai Közlemények, 25</w:t>
      </w:r>
      <w:r w:rsidRPr="00376278">
        <w:rPr>
          <w:lang w:val="hu-HU"/>
        </w:rPr>
        <w:t>(4), 99–109.</w:t>
      </w:r>
      <w:r>
        <w:rPr>
          <w:lang w:val="hu-HU"/>
        </w:rPr>
        <w:t xml:space="preserve"> </w:t>
      </w:r>
      <w:r>
        <w:rPr>
          <w:b/>
          <w:bCs/>
          <w:lang w:val="hu-HU"/>
        </w:rPr>
        <w:t>M51</w:t>
      </w:r>
    </w:p>
    <w:p w14:paraId="1D1BE873" w14:textId="652FF277" w:rsidR="00BD7997" w:rsidRPr="00BD7997" w:rsidRDefault="00BD7997" w:rsidP="00BD7997">
      <w:pPr>
        <w:spacing w:before="240" w:after="120" w:line="360" w:lineRule="auto"/>
        <w:ind w:left="851" w:hanging="851"/>
        <w:jc w:val="both"/>
        <w:rPr>
          <w:b/>
          <w:bCs/>
          <w:lang w:val="hu-HU"/>
        </w:rPr>
      </w:pPr>
      <w:r w:rsidRPr="00376278">
        <w:rPr>
          <w:lang w:val="hu-HU"/>
        </w:rPr>
        <w:t xml:space="preserve">Juhas Tot, T. (2024b). Prevođenje srpskog genitiva na mađarski u </w:t>
      </w:r>
      <w:r w:rsidRPr="00376278">
        <w:rPr>
          <w:i/>
          <w:iCs/>
          <w:lang w:val="hu-HU"/>
        </w:rPr>
        <w:t>Službenom listu Autonomne pokrajine Vojvodine</w:t>
      </w:r>
      <w:r w:rsidRPr="00376278">
        <w:rPr>
          <w:lang w:val="hu-HU"/>
        </w:rPr>
        <w:t xml:space="preserve">. In: </w:t>
      </w:r>
      <w:r w:rsidRPr="00376278">
        <w:rPr>
          <w:i/>
          <w:iCs/>
          <w:lang w:val="hu-HU"/>
        </w:rPr>
        <w:t>Sedmi međunarodni interdisciplinarni skup mladih naučnika društvenih i humanističkih nauka – Konteksti 2023. Zbornik radova</w:t>
      </w:r>
      <w:r w:rsidRPr="00376278">
        <w:rPr>
          <w:lang w:val="hu-HU"/>
        </w:rPr>
        <w:t>. Novi Sad: Filozofski fakultet. 253–266.</w:t>
      </w:r>
      <w:r>
        <w:rPr>
          <w:lang w:val="hu-HU"/>
        </w:rPr>
        <w:t xml:space="preserve"> </w:t>
      </w:r>
      <w:r>
        <w:rPr>
          <w:b/>
          <w:bCs/>
          <w:lang w:val="hu-HU"/>
        </w:rPr>
        <w:t>M33</w:t>
      </w:r>
    </w:p>
    <w:p w14:paraId="125BC2B2" w14:textId="77C072A9" w:rsidR="00BD7997" w:rsidRPr="00BD7997" w:rsidRDefault="00BD7997" w:rsidP="00BD7997">
      <w:pPr>
        <w:spacing w:before="240" w:after="120" w:line="360" w:lineRule="auto"/>
        <w:ind w:left="851" w:hanging="851"/>
        <w:jc w:val="both"/>
        <w:rPr>
          <w:b/>
          <w:bCs/>
          <w:iCs/>
          <w:shd w:val="clear" w:color="auto" w:fill="FFFFFF"/>
        </w:rPr>
      </w:pPr>
      <w:r w:rsidRPr="00A45188">
        <w:rPr>
          <w:iCs/>
          <w:shd w:val="clear" w:color="auto" w:fill="FFFFFF"/>
        </w:rPr>
        <w:t xml:space="preserve">Sabo Laki, B. &amp; Tot Juhas, T. (2024). Govorni čin molbe u srpskom i mađarskom jeziku – kontrastivna pragmatička ispitivanja. </w:t>
      </w:r>
      <w:r w:rsidRPr="00A45188">
        <w:rPr>
          <w:i/>
          <w:iCs/>
          <w:shd w:val="clear" w:color="auto" w:fill="FFFFFF"/>
        </w:rPr>
        <w:t>Zbornik Matice srpske za filologiju i lingvistiku</w:t>
      </w:r>
      <w:r>
        <w:rPr>
          <w:iCs/>
          <w:shd w:val="clear" w:color="auto" w:fill="FFFFFF"/>
        </w:rPr>
        <w:t xml:space="preserve">, </w:t>
      </w:r>
      <w:r w:rsidRPr="00F3499F">
        <w:rPr>
          <w:i/>
          <w:shd w:val="clear" w:color="auto" w:fill="FFFFFF"/>
        </w:rPr>
        <w:t>67</w:t>
      </w:r>
      <w:r w:rsidRPr="00F3499F">
        <w:rPr>
          <w:iCs/>
          <w:shd w:val="clear" w:color="auto" w:fill="FFFFFF"/>
        </w:rPr>
        <w:t>(2)</w:t>
      </w:r>
      <w:r w:rsidRPr="00A45188">
        <w:rPr>
          <w:iCs/>
          <w:shd w:val="clear" w:color="auto" w:fill="FFFFFF"/>
        </w:rPr>
        <w:t>, 121–137. (Original objavljen ćirilicom).</w:t>
      </w:r>
      <w:r>
        <w:rPr>
          <w:iCs/>
          <w:shd w:val="clear" w:color="auto" w:fill="FFFFFF"/>
        </w:rPr>
        <w:t xml:space="preserve"> </w:t>
      </w:r>
      <w:r>
        <w:rPr>
          <w:b/>
          <w:bCs/>
          <w:iCs/>
          <w:shd w:val="clear" w:color="auto" w:fill="FFFFFF"/>
        </w:rPr>
        <w:t>M23</w:t>
      </w:r>
    </w:p>
    <w:p w14:paraId="21BF876A" w14:textId="05C2616D" w:rsidR="00376278" w:rsidRPr="00BD7997" w:rsidRDefault="00376278" w:rsidP="00BD7997">
      <w:pPr>
        <w:spacing w:before="240" w:after="120" w:line="360" w:lineRule="auto"/>
        <w:ind w:left="851" w:hanging="851"/>
        <w:jc w:val="both"/>
        <w:rPr>
          <w:b/>
          <w:bCs/>
          <w:color w:val="231F20"/>
          <w:lang w:val="hu-HU"/>
        </w:rPr>
      </w:pPr>
      <w:r w:rsidRPr="00376278">
        <w:rPr>
          <w:lang w:val="hu-HU"/>
        </w:rPr>
        <w:t>Juhász Tóth, T. (2023</w:t>
      </w:r>
      <w:r w:rsidR="00BD7997">
        <w:rPr>
          <w:lang w:val="hu-HU"/>
        </w:rPr>
        <w:t>a</w:t>
      </w:r>
      <w:r w:rsidRPr="00376278">
        <w:rPr>
          <w:lang w:val="hu-HU"/>
        </w:rPr>
        <w:t xml:space="preserve">). A Vajdaság Autonóm Tartomány Hivatalos Lapja szerb nyelvű számainak és magyar fordításainak összevető elemzése. </w:t>
      </w:r>
      <w:r w:rsidRPr="00376278">
        <w:rPr>
          <w:i/>
          <w:iCs/>
          <w:lang w:val="hu-HU"/>
        </w:rPr>
        <w:t>Hungarológiai Közlemények, 24</w:t>
      </w:r>
      <w:r w:rsidRPr="00376278">
        <w:rPr>
          <w:lang w:val="hu-HU"/>
        </w:rPr>
        <w:t>(4), 133–144.</w:t>
      </w:r>
      <w:r w:rsidR="00BD7997">
        <w:rPr>
          <w:lang w:val="hu-HU"/>
        </w:rPr>
        <w:t xml:space="preserve"> </w:t>
      </w:r>
      <w:r w:rsidR="00BD7997">
        <w:rPr>
          <w:b/>
          <w:bCs/>
          <w:lang w:val="hu-HU"/>
        </w:rPr>
        <w:t>M51</w:t>
      </w:r>
    </w:p>
    <w:p w14:paraId="2CFBB2A6" w14:textId="4EA040C8" w:rsidR="00376278" w:rsidRPr="00BD7997" w:rsidRDefault="00376278" w:rsidP="009E025C">
      <w:pPr>
        <w:spacing w:after="240" w:line="360" w:lineRule="auto"/>
        <w:ind w:left="720" w:hanging="720"/>
        <w:jc w:val="both"/>
        <w:rPr>
          <w:b/>
          <w:bCs/>
          <w:spacing w:val="9"/>
          <w:lang w:val="hu-HU"/>
        </w:rPr>
      </w:pPr>
      <w:r w:rsidRPr="00376278">
        <w:rPr>
          <w:spacing w:val="9"/>
          <w:lang w:val="hu-HU"/>
        </w:rPr>
        <w:lastRenderedPageBreak/>
        <w:t>Tóth Juhász, T. (2023</w:t>
      </w:r>
      <w:r w:rsidR="00BD7997">
        <w:rPr>
          <w:spacing w:val="9"/>
          <w:lang w:val="hu-HU"/>
        </w:rPr>
        <w:t>b</w:t>
      </w:r>
      <w:r w:rsidRPr="00376278">
        <w:rPr>
          <w:spacing w:val="9"/>
          <w:lang w:val="hu-HU"/>
        </w:rPr>
        <w:t xml:space="preserve">). Vajdaság Autonóm Tartomány Hivatalos Lapja fordításának bemutatása. </w:t>
      </w:r>
      <w:r w:rsidR="00CB4724">
        <w:rPr>
          <w:spacing w:val="9"/>
          <w:lang w:val="hu-HU"/>
        </w:rPr>
        <w:t>In</w:t>
      </w:r>
      <w:r w:rsidRPr="00376278">
        <w:rPr>
          <w:spacing w:val="9"/>
          <w:lang w:val="hu-HU"/>
        </w:rPr>
        <w:t xml:space="preserve">: Novák, A. (szerk.). </w:t>
      </w:r>
      <w:r w:rsidRPr="00376278">
        <w:rPr>
          <w:i/>
          <w:iCs/>
          <w:spacing w:val="9"/>
          <w:lang w:val="hu-HU"/>
        </w:rPr>
        <w:t>Perspektívaváltás</w:t>
      </w:r>
      <w:r w:rsidRPr="00376278">
        <w:rPr>
          <w:spacing w:val="9"/>
          <w:lang w:val="hu-HU"/>
        </w:rPr>
        <w:t>. Szabadka: Vajdasági Magyar Doktoranduszok és Kutatók Szervezete. 9–20.</w:t>
      </w:r>
      <w:r w:rsidR="00BD7997">
        <w:rPr>
          <w:spacing w:val="9"/>
          <w:lang w:val="hu-HU"/>
        </w:rPr>
        <w:t xml:space="preserve"> </w:t>
      </w:r>
      <w:r w:rsidR="00BD7997">
        <w:rPr>
          <w:b/>
          <w:bCs/>
          <w:spacing w:val="9"/>
          <w:lang w:val="hu-HU"/>
        </w:rPr>
        <w:t>M45</w:t>
      </w:r>
    </w:p>
    <w:p w14:paraId="737ADAE2" w14:textId="2F62AE0E" w:rsidR="00A45188" w:rsidRPr="00BD7997" w:rsidRDefault="00CB4724" w:rsidP="009E025C">
      <w:pPr>
        <w:spacing w:after="240" w:line="360" w:lineRule="auto"/>
        <w:ind w:left="720" w:hanging="720"/>
        <w:jc w:val="both"/>
        <w:rPr>
          <w:b/>
          <w:bCs/>
        </w:rPr>
      </w:pPr>
      <w:r w:rsidRPr="00CB4724">
        <w:t xml:space="preserve">Tot, T. (2018). Manipulacije jezikom i analiza predikata u Vučićevoj završnoj konvenciji predizborne kampanje 2014. godine. </w:t>
      </w:r>
      <w:r>
        <w:t>In</w:t>
      </w:r>
      <w:r w:rsidRPr="00CB4724">
        <w:t xml:space="preserve">: </w:t>
      </w:r>
      <w:r w:rsidRPr="00CB4724">
        <w:rPr>
          <w:i/>
          <w:iCs/>
        </w:rPr>
        <w:t>Savremena proučavanja jezika i književnosti. Zbornik radova sa IX naučnog skupa mladih filologa Srbije</w:t>
      </w:r>
      <w:r w:rsidRPr="00CB4724">
        <w:t xml:space="preserve">. Knj. 1. Kragujevac: Filološko-umetnički fakultet u Kragujevcu. 273–283. (Original objavljen ćirilicom). </w:t>
      </w:r>
      <w:r w:rsidRPr="00CB4724">
        <w:rPr>
          <w:b/>
          <w:bCs/>
        </w:rPr>
        <w:t>M63</w:t>
      </w:r>
    </w:p>
    <w:p w14:paraId="7777EBAF" w14:textId="2001D939" w:rsidR="00A45188" w:rsidRPr="00BD7997" w:rsidRDefault="00F76F13" w:rsidP="009E025C">
      <w:pPr>
        <w:spacing w:after="240" w:line="360" w:lineRule="auto"/>
        <w:ind w:left="720" w:hanging="720"/>
        <w:jc w:val="both"/>
        <w:rPr>
          <w:b/>
          <w:bCs/>
        </w:rPr>
      </w:pPr>
      <w:r w:rsidRPr="00F76F13">
        <w:t xml:space="preserve">Tóth, T. (2016). A káromkodáskultúra pragmatikai vizsgálata Végel László </w:t>
      </w:r>
      <w:r w:rsidRPr="00F76F13">
        <w:rPr>
          <w:i/>
          <w:iCs/>
        </w:rPr>
        <w:t>Neoplanta, avagy az Ígéret Földje</w:t>
      </w:r>
      <w:r w:rsidRPr="00F76F13">
        <w:t xml:space="preserve"> című regényében. </w:t>
      </w:r>
      <w:r w:rsidRPr="00F76F13">
        <w:rPr>
          <w:i/>
          <w:iCs/>
        </w:rPr>
        <w:t>Tanulmányok, 2016</w:t>
      </w:r>
      <w:r w:rsidRPr="00F76F13">
        <w:t>(1), 193–207.</w:t>
      </w:r>
      <w:r w:rsidR="00BD7997">
        <w:t xml:space="preserve"> </w:t>
      </w:r>
      <w:r w:rsidR="00BD7997">
        <w:rPr>
          <w:b/>
          <w:bCs/>
        </w:rPr>
        <w:t>M52</w:t>
      </w:r>
    </w:p>
    <w:p w14:paraId="0B4EC0BA" w14:textId="3979063B" w:rsidR="00A45188" w:rsidRPr="00BD7997" w:rsidRDefault="00F76F13" w:rsidP="009E025C">
      <w:pPr>
        <w:spacing w:after="240" w:line="360" w:lineRule="auto"/>
        <w:ind w:left="720" w:hanging="720"/>
        <w:jc w:val="both"/>
        <w:rPr>
          <w:b/>
          <w:bCs/>
        </w:rPr>
      </w:pPr>
      <w:r w:rsidRPr="00F76F13">
        <w:t xml:space="preserve">Tóth, T. (2015a). A mosdójelek kontrasztív szemiotikai vizsgálata néhány magyarországi és szerbiai példa alapján. </w:t>
      </w:r>
      <w:r w:rsidRPr="00F76F13">
        <w:rPr>
          <w:i/>
          <w:iCs/>
        </w:rPr>
        <w:t>Tanulmányok, 2015</w:t>
      </w:r>
      <w:r w:rsidRPr="00F76F13">
        <w:t>(2), 135–152.</w:t>
      </w:r>
      <w:r w:rsidR="00BD7997">
        <w:t xml:space="preserve"> </w:t>
      </w:r>
      <w:r w:rsidR="00BD7997">
        <w:rPr>
          <w:b/>
          <w:bCs/>
        </w:rPr>
        <w:t>M52</w:t>
      </w:r>
    </w:p>
    <w:p w14:paraId="0DB499CC" w14:textId="7252458C" w:rsidR="00A45188" w:rsidRPr="00BD7997" w:rsidRDefault="00A45188" w:rsidP="009E025C">
      <w:pPr>
        <w:spacing w:after="240" w:line="360" w:lineRule="auto"/>
        <w:ind w:left="720" w:hanging="720"/>
        <w:jc w:val="both"/>
        <w:rPr>
          <w:b/>
          <w:bCs/>
          <w:lang w:val="hu-HU"/>
        </w:rPr>
      </w:pPr>
      <w:r w:rsidRPr="00A45188">
        <w:t xml:space="preserve">Tot, T. (2015b). Manipulacije jezikom u Vučićevoj i Orbanovoj završnoj konvenciji predizborne kampanje 2014. godine. In: </w:t>
      </w:r>
      <w:r w:rsidRPr="00A45188">
        <w:rPr>
          <w:i/>
          <w:iCs/>
        </w:rPr>
        <w:t>Međunarodni interdisciplinarni skup mladih naučnika društvenih i humanističkih nauka – Konteksti 2015. Zbornik radova</w:t>
      </w:r>
      <w:r w:rsidRPr="00A45188">
        <w:t>. Novi Sad: Filozofski fakultet, 121–146. (Original objavljen ćirilicom).</w:t>
      </w:r>
      <w:r w:rsidR="00BD7997">
        <w:t xml:space="preserve"> </w:t>
      </w:r>
      <w:r w:rsidR="00BD7997">
        <w:rPr>
          <w:b/>
          <w:bCs/>
        </w:rPr>
        <w:t>M33</w:t>
      </w:r>
    </w:p>
    <w:p w14:paraId="024A5EBA" w14:textId="77777777" w:rsidR="00C3374C" w:rsidRPr="00376278" w:rsidRDefault="00C3374C" w:rsidP="009E025C">
      <w:pPr>
        <w:spacing w:line="360" w:lineRule="auto"/>
        <w:ind w:left="720" w:hanging="720"/>
        <w:jc w:val="both"/>
        <w:rPr>
          <w:b/>
          <w:bCs/>
          <w:lang w:val="hu-HU"/>
        </w:rPr>
      </w:pPr>
    </w:p>
    <w:p w14:paraId="2D6EE75B" w14:textId="77777777" w:rsidR="007F5543" w:rsidRPr="00376278" w:rsidRDefault="007F5543" w:rsidP="009E025C">
      <w:pPr>
        <w:spacing w:line="360" w:lineRule="auto"/>
        <w:ind w:hanging="720"/>
        <w:jc w:val="both"/>
        <w:rPr>
          <w:lang w:val="hu-HU"/>
        </w:rPr>
      </w:pPr>
    </w:p>
    <w:p w14:paraId="1E5E95EB" w14:textId="5385FAEC" w:rsidR="0089438F" w:rsidRPr="00376278" w:rsidRDefault="00C3374C" w:rsidP="009E025C">
      <w:pPr>
        <w:spacing w:line="360" w:lineRule="auto"/>
        <w:rPr>
          <w:b/>
          <w:bCs/>
          <w:lang w:val="hu-HU"/>
        </w:rPr>
      </w:pPr>
      <w:r w:rsidRPr="00376278">
        <w:rPr>
          <w:b/>
          <w:bCs/>
          <w:lang w:val="hu-HU"/>
        </w:rPr>
        <w:t>Rezimei:</w:t>
      </w:r>
    </w:p>
    <w:p w14:paraId="2FBAF269" w14:textId="77777777" w:rsidR="004D6B9D" w:rsidRPr="00376278" w:rsidRDefault="004D6B9D" w:rsidP="009E025C">
      <w:pPr>
        <w:spacing w:line="360" w:lineRule="auto"/>
        <w:rPr>
          <w:b/>
          <w:bCs/>
          <w:lang w:val="hu-HU"/>
        </w:rPr>
      </w:pPr>
    </w:p>
    <w:p w14:paraId="691F7F65" w14:textId="409B0A77" w:rsidR="00C3374C" w:rsidRPr="00524319" w:rsidRDefault="00A20A77" w:rsidP="00126E42">
      <w:pPr>
        <w:pStyle w:val="ListParagraph"/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  <w:lang w:val="hu-HU"/>
        </w:rPr>
      </w:pPr>
      <w:r w:rsidRPr="00A20A77">
        <w:rPr>
          <w:rFonts w:ascii="Times New Roman" w:hAnsi="Times New Roman" w:cs="Times New Roman"/>
        </w:rPr>
        <w:t xml:space="preserve">Juhász Tóth, T. (2025). A fordítás diakronikus bemutatása a vajdasági közigazgatásban. </w:t>
      </w:r>
      <w:r w:rsidRPr="00A20A77">
        <w:rPr>
          <w:rFonts w:ascii="Times New Roman" w:hAnsi="Times New Roman" w:cs="Times New Roman"/>
          <w:i/>
          <w:iCs/>
        </w:rPr>
        <w:t>Kommunikáció és nyelv VI. – Nemzetközi tudományos és szakmai konferencia. Rezümékötet</w:t>
      </w:r>
      <w:r w:rsidRPr="00A20A77">
        <w:rPr>
          <w:rFonts w:ascii="Times New Roman" w:hAnsi="Times New Roman" w:cs="Times New Roman"/>
        </w:rPr>
        <w:t>. Eszék.</w:t>
      </w:r>
      <w:r w:rsidR="00524319">
        <w:rPr>
          <w:rFonts w:ascii="Times New Roman" w:hAnsi="Times New Roman" w:cs="Times New Roman"/>
        </w:rPr>
        <w:t xml:space="preserve"> </w:t>
      </w:r>
      <w:r w:rsidR="00524319">
        <w:rPr>
          <w:rFonts w:ascii="Times New Roman" w:hAnsi="Times New Roman" w:cs="Times New Roman"/>
          <w:b/>
          <w:bCs/>
        </w:rPr>
        <w:t>M34</w:t>
      </w:r>
    </w:p>
    <w:p w14:paraId="7290A848" w14:textId="0CE03C7A" w:rsidR="00C3374C" w:rsidRPr="00126E42" w:rsidRDefault="00A20A77" w:rsidP="00126E42">
      <w:pPr>
        <w:pStyle w:val="ListParagraph"/>
        <w:spacing w:after="0" w:line="360" w:lineRule="auto"/>
        <w:ind w:hanging="720"/>
        <w:jc w:val="both"/>
        <w:rPr>
          <w:rFonts w:ascii="Times New Roman" w:hAnsi="Times New Roman" w:cs="Times New Roman"/>
          <w:lang w:val="hu-HU"/>
        </w:rPr>
      </w:pPr>
      <w:r w:rsidRPr="00A20A77">
        <w:rPr>
          <w:rFonts w:ascii="Times New Roman" w:hAnsi="Times New Roman" w:cs="Times New Roman"/>
        </w:rPr>
        <w:t xml:space="preserve">Juhász Tóth, T. (2024). A jugoszláv önigazgatási rendszer nyelvezetének néhány sajátossága és annak magyar fordítása. </w:t>
      </w:r>
      <w:r w:rsidRPr="00A20A77">
        <w:rPr>
          <w:rFonts w:ascii="Times New Roman" w:hAnsi="Times New Roman" w:cs="Times New Roman"/>
          <w:i/>
          <w:iCs/>
        </w:rPr>
        <w:t>A nyelv időben és térben – Nemzetközi tudományos konferencia. Rezümékötet</w:t>
      </w:r>
      <w:r w:rsidRPr="00A20A77">
        <w:rPr>
          <w:rFonts w:ascii="Times New Roman" w:hAnsi="Times New Roman" w:cs="Times New Roman"/>
        </w:rPr>
        <w:t>. Újvidék, 23–24.</w:t>
      </w:r>
      <w:r w:rsidR="00524319" w:rsidRPr="00524319">
        <w:rPr>
          <w:rFonts w:ascii="Times New Roman" w:hAnsi="Times New Roman" w:cs="Times New Roman"/>
          <w:b/>
          <w:bCs/>
        </w:rPr>
        <w:t xml:space="preserve"> </w:t>
      </w:r>
      <w:r w:rsidR="00524319">
        <w:rPr>
          <w:rFonts w:ascii="Times New Roman" w:hAnsi="Times New Roman" w:cs="Times New Roman"/>
          <w:b/>
          <w:bCs/>
        </w:rPr>
        <w:t>M34</w:t>
      </w:r>
    </w:p>
    <w:p w14:paraId="4CFFB100" w14:textId="7A7CD51D" w:rsidR="00BD7997" w:rsidRDefault="00BD7997" w:rsidP="00126E42">
      <w:pPr>
        <w:pStyle w:val="ListParagraph"/>
        <w:spacing w:after="0" w:line="360" w:lineRule="auto"/>
        <w:ind w:hanging="720"/>
        <w:jc w:val="both"/>
        <w:rPr>
          <w:rFonts w:ascii="Times New Roman" w:hAnsi="Times New Roman" w:cs="Times New Roman"/>
        </w:rPr>
      </w:pPr>
      <w:r w:rsidRPr="00A20A77">
        <w:rPr>
          <w:rFonts w:ascii="Times New Roman" w:hAnsi="Times New Roman" w:cs="Times New Roman"/>
        </w:rPr>
        <w:t>Juhász Tóth, T. (2023</w:t>
      </w:r>
      <w:r>
        <w:rPr>
          <w:rFonts w:ascii="Times New Roman" w:hAnsi="Times New Roman" w:cs="Times New Roman"/>
        </w:rPr>
        <w:t>a</w:t>
      </w:r>
      <w:r w:rsidRPr="00A20A77">
        <w:rPr>
          <w:rFonts w:ascii="Times New Roman" w:hAnsi="Times New Roman" w:cs="Times New Roman"/>
        </w:rPr>
        <w:t xml:space="preserve">). Grammatikai átváltási műveletek a Vajdaság Autonóm Tartomány Hivatalos Lapjának szerbről magyarra való fordításában. </w:t>
      </w:r>
      <w:r w:rsidRPr="00A20A77">
        <w:rPr>
          <w:rFonts w:ascii="Times New Roman" w:hAnsi="Times New Roman" w:cs="Times New Roman"/>
          <w:i/>
          <w:iCs/>
        </w:rPr>
        <w:t xml:space="preserve">Kommunikáció – </w:t>
      </w:r>
      <w:r w:rsidRPr="00A20A77">
        <w:rPr>
          <w:rFonts w:ascii="Times New Roman" w:hAnsi="Times New Roman" w:cs="Times New Roman"/>
          <w:i/>
          <w:iCs/>
        </w:rPr>
        <w:lastRenderedPageBreak/>
        <w:t>Konceptualizáció – Funkcionalitás. Nemzetközi tudományos konferencia. Rezümékötet</w:t>
      </w:r>
      <w:r w:rsidRPr="00A20A77">
        <w:rPr>
          <w:rFonts w:ascii="Times New Roman" w:hAnsi="Times New Roman" w:cs="Times New Roman"/>
        </w:rPr>
        <w:t>. Újvidéki Egyetem, Bölcsészettudományi Kar, 19.</w:t>
      </w:r>
      <w:r w:rsidR="00524319" w:rsidRPr="00524319">
        <w:rPr>
          <w:rFonts w:ascii="Times New Roman" w:hAnsi="Times New Roman" w:cs="Times New Roman"/>
          <w:b/>
          <w:bCs/>
        </w:rPr>
        <w:t xml:space="preserve"> </w:t>
      </w:r>
      <w:r w:rsidR="00524319">
        <w:rPr>
          <w:rFonts w:ascii="Times New Roman" w:hAnsi="Times New Roman" w:cs="Times New Roman"/>
          <w:b/>
          <w:bCs/>
        </w:rPr>
        <w:t>M34</w:t>
      </w:r>
    </w:p>
    <w:p w14:paraId="170E3DA3" w14:textId="453D28A6" w:rsidR="00A20A77" w:rsidRDefault="00A20A77" w:rsidP="00126E42">
      <w:pPr>
        <w:pStyle w:val="ListParagraph"/>
        <w:spacing w:after="0" w:line="360" w:lineRule="auto"/>
        <w:ind w:hanging="720"/>
        <w:jc w:val="both"/>
        <w:rPr>
          <w:rFonts w:ascii="Times New Roman" w:hAnsi="Times New Roman" w:cs="Times New Roman"/>
        </w:rPr>
      </w:pPr>
      <w:r w:rsidRPr="00A20A77">
        <w:rPr>
          <w:rFonts w:ascii="Times New Roman" w:hAnsi="Times New Roman" w:cs="Times New Roman"/>
        </w:rPr>
        <w:t>Juhász Tóth, T. (2023</w:t>
      </w:r>
      <w:r w:rsidR="00BD7997">
        <w:rPr>
          <w:rFonts w:ascii="Times New Roman" w:hAnsi="Times New Roman" w:cs="Times New Roman"/>
        </w:rPr>
        <w:t>b</w:t>
      </w:r>
      <w:r w:rsidRPr="00A20A77">
        <w:rPr>
          <w:rFonts w:ascii="Times New Roman" w:hAnsi="Times New Roman" w:cs="Times New Roman"/>
        </w:rPr>
        <w:t xml:space="preserve">). Lexikai átváltási műveletek a jogi-közigazgatási jellegű szakszövegek szerbről magyarra való fordításaiban. </w:t>
      </w:r>
      <w:r w:rsidRPr="00A20A77">
        <w:rPr>
          <w:rFonts w:ascii="Times New Roman" w:hAnsi="Times New Roman" w:cs="Times New Roman"/>
          <w:i/>
          <w:iCs/>
        </w:rPr>
        <w:t>V. Kommunikáció és nyelv – Innováció és nyelvi közvetítés. Nemzetközi szakmai és tudományos konferencia. Rezümékötet</w:t>
      </w:r>
      <w:r w:rsidRPr="00A20A77">
        <w:rPr>
          <w:rFonts w:ascii="Times New Roman" w:hAnsi="Times New Roman" w:cs="Times New Roman"/>
        </w:rPr>
        <w:t>. Eszék, 26.</w:t>
      </w:r>
      <w:r w:rsidR="00524319" w:rsidRPr="00524319">
        <w:rPr>
          <w:rFonts w:ascii="Times New Roman" w:hAnsi="Times New Roman" w:cs="Times New Roman"/>
          <w:b/>
          <w:bCs/>
        </w:rPr>
        <w:t xml:space="preserve"> </w:t>
      </w:r>
      <w:r w:rsidR="00524319">
        <w:rPr>
          <w:rFonts w:ascii="Times New Roman" w:hAnsi="Times New Roman" w:cs="Times New Roman"/>
          <w:b/>
          <w:bCs/>
        </w:rPr>
        <w:t>M34</w:t>
      </w:r>
    </w:p>
    <w:p w14:paraId="7AA71C23" w14:textId="6DAFEE72" w:rsidR="00A20A77" w:rsidRPr="00BD7997" w:rsidRDefault="00A20A77" w:rsidP="00BD7997">
      <w:pPr>
        <w:pStyle w:val="ListParagraph"/>
        <w:spacing w:after="0" w:line="360" w:lineRule="auto"/>
        <w:ind w:hanging="720"/>
        <w:jc w:val="both"/>
        <w:rPr>
          <w:rFonts w:ascii="Times New Roman" w:hAnsi="Times New Roman" w:cs="Times New Roman"/>
        </w:rPr>
      </w:pPr>
      <w:r w:rsidRPr="00A20A77">
        <w:rPr>
          <w:rFonts w:ascii="Times New Roman" w:hAnsi="Times New Roman" w:cs="Times New Roman"/>
        </w:rPr>
        <w:t>Tot Juhas, T. (2023</w:t>
      </w:r>
      <w:r w:rsidR="00BD7997">
        <w:rPr>
          <w:rFonts w:ascii="Times New Roman" w:hAnsi="Times New Roman" w:cs="Times New Roman"/>
        </w:rPr>
        <w:t>c</w:t>
      </w:r>
      <w:r w:rsidRPr="00A20A77">
        <w:rPr>
          <w:rFonts w:ascii="Times New Roman" w:hAnsi="Times New Roman" w:cs="Times New Roman"/>
        </w:rPr>
        <w:t xml:space="preserve">). Translation of the Serbian Genitive into Hungarian in the </w:t>
      </w:r>
      <w:r w:rsidRPr="00A20A77">
        <w:rPr>
          <w:rFonts w:ascii="Times New Roman" w:hAnsi="Times New Roman" w:cs="Times New Roman"/>
          <w:i/>
          <w:iCs/>
        </w:rPr>
        <w:t>Official Journal of the Autonomous Province of Vojvodina</w:t>
      </w:r>
      <w:r w:rsidRPr="00A20A77">
        <w:rPr>
          <w:rFonts w:ascii="Times New Roman" w:hAnsi="Times New Roman" w:cs="Times New Roman"/>
        </w:rPr>
        <w:t xml:space="preserve">. </w:t>
      </w:r>
      <w:r w:rsidRPr="00A20A77">
        <w:rPr>
          <w:rFonts w:ascii="Times New Roman" w:hAnsi="Times New Roman" w:cs="Times New Roman"/>
          <w:i/>
          <w:iCs/>
        </w:rPr>
        <w:t>Seventh International Interdisciplinary Conference for Young Scholars in Social Sciences and Humanities. Book of Abstracts</w:t>
      </w:r>
      <w:r w:rsidRPr="00A20A77">
        <w:rPr>
          <w:rFonts w:ascii="Times New Roman" w:hAnsi="Times New Roman" w:cs="Times New Roman"/>
        </w:rPr>
        <w:t>. Novi Sad, 85.</w:t>
      </w:r>
      <w:r w:rsidR="00524319" w:rsidRPr="00524319">
        <w:rPr>
          <w:rFonts w:ascii="Times New Roman" w:hAnsi="Times New Roman" w:cs="Times New Roman"/>
          <w:b/>
          <w:bCs/>
        </w:rPr>
        <w:t xml:space="preserve"> </w:t>
      </w:r>
      <w:r w:rsidR="00524319">
        <w:rPr>
          <w:rFonts w:ascii="Times New Roman" w:hAnsi="Times New Roman" w:cs="Times New Roman"/>
          <w:b/>
          <w:bCs/>
        </w:rPr>
        <w:t>M34</w:t>
      </w:r>
    </w:p>
    <w:p w14:paraId="24E7DC8D" w14:textId="7ED46BE8" w:rsidR="00A20A77" w:rsidRPr="00126E42" w:rsidRDefault="00A20A77" w:rsidP="00126E42">
      <w:pPr>
        <w:pStyle w:val="ListParagraph"/>
        <w:spacing w:after="0" w:line="360" w:lineRule="auto"/>
        <w:ind w:hanging="720"/>
        <w:jc w:val="both"/>
        <w:rPr>
          <w:rFonts w:ascii="Times New Roman" w:hAnsi="Times New Roman" w:cs="Times New Roman"/>
        </w:rPr>
      </w:pPr>
      <w:r w:rsidRPr="00A20A77">
        <w:rPr>
          <w:rFonts w:ascii="Times New Roman" w:hAnsi="Times New Roman" w:cs="Times New Roman"/>
        </w:rPr>
        <w:t xml:space="preserve">Tóth Juhász, T. (2022). Vajdaság Autonóm Tartomány Hivatalos Lapja szerbről magyarra való fordításának áttekintése. </w:t>
      </w:r>
      <w:r w:rsidRPr="00A20A77">
        <w:rPr>
          <w:rFonts w:ascii="Times New Roman" w:hAnsi="Times New Roman" w:cs="Times New Roman"/>
          <w:i/>
          <w:iCs/>
        </w:rPr>
        <w:t>Nyelv és megismerés – Nyelvészeti kutatások határon innen és túl. Nemzetközi tudományos konferencia. Rezümékötet</w:t>
      </w:r>
      <w:r w:rsidRPr="00A20A77">
        <w:rPr>
          <w:rFonts w:ascii="Times New Roman" w:hAnsi="Times New Roman" w:cs="Times New Roman"/>
        </w:rPr>
        <w:t>. Újvidéki Egyetem, Bölcsészettudományi Kar.</w:t>
      </w:r>
      <w:r w:rsidR="00524319" w:rsidRPr="00524319">
        <w:rPr>
          <w:rFonts w:ascii="Times New Roman" w:hAnsi="Times New Roman" w:cs="Times New Roman"/>
          <w:b/>
          <w:bCs/>
        </w:rPr>
        <w:t xml:space="preserve"> </w:t>
      </w:r>
      <w:r w:rsidR="00524319">
        <w:rPr>
          <w:rFonts w:ascii="Times New Roman" w:hAnsi="Times New Roman" w:cs="Times New Roman"/>
          <w:b/>
          <w:bCs/>
        </w:rPr>
        <w:t>M34</w:t>
      </w:r>
    </w:p>
    <w:p w14:paraId="7858A174" w14:textId="4C5EE024" w:rsidR="00A20A77" w:rsidRPr="00126E42" w:rsidRDefault="00A20A77" w:rsidP="00126E42">
      <w:pPr>
        <w:pStyle w:val="ListParagraph"/>
        <w:spacing w:after="0" w:line="360" w:lineRule="auto"/>
        <w:ind w:hanging="720"/>
        <w:jc w:val="both"/>
        <w:rPr>
          <w:rFonts w:ascii="Times New Roman" w:hAnsi="Times New Roman" w:cs="Times New Roman"/>
        </w:rPr>
      </w:pPr>
      <w:r w:rsidRPr="00A20A77">
        <w:rPr>
          <w:rFonts w:ascii="Times New Roman" w:hAnsi="Times New Roman" w:cs="Times New Roman"/>
        </w:rPr>
        <w:t>Tóth, T. (2017</w:t>
      </w:r>
      <w:r w:rsidR="00126E42">
        <w:rPr>
          <w:rFonts w:ascii="Times New Roman" w:hAnsi="Times New Roman" w:cs="Times New Roman"/>
        </w:rPr>
        <w:t>a</w:t>
      </w:r>
      <w:r w:rsidRPr="00A20A77">
        <w:rPr>
          <w:rFonts w:ascii="Times New Roman" w:hAnsi="Times New Roman" w:cs="Times New Roman"/>
        </w:rPr>
        <w:t>). Az objektum szemantikai vizsgálata néhány EFT (</w:t>
      </w:r>
      <w:r w:rsidRPr="00A20A77">
        <w:rPr>
          <w:rFonts w:ascii="Times New Roman" w:hAnsi="Times New Roman" w:cs="Times New Roman"/>
          <w:i/>
          <w:iCs/>
        </w:rPr>
        <w:t>Emotional Freedom Technique</w:t>
      </w:r>
      <w:r w:rsidRPr="00A20A77">
        <w:rPr>
          <w:rFonts w:ascii="Times New Roman" w:hAnsi="Times New Roman" w:cs="Times New Roman"/>
        </w:rPr>
        <w:t xml:space="preserve">) szövegben. </w:t>
      </w:r>
      <w:r w:rsidRPr="00A20A77">
        <w:rPr>
          <w:rFonts w:ascii="Times New Roman" w:hAnsi="Times New Roman" w:cs="Times New Roman"/>
          <w:i/>
          <w:iCs/>
        </w:rPr>
        <w:t>25. Egyetemi Nyelvészeti Napok: Az alkalmazott nyelvészet jelene és jövője. Nemzetközi tudományos konferencia</w:t>
      </w:r>
      <w:r w:rsidRPr="00A20A77">
        <w:rPr>
          <w:rFonts w:ascii="Times New Roman" w:hAnsi="Times New Roman" w:cs="Times New Roman"/>
        </w:rPr>
        <w:t>. Újvidék, 56.</w:t>
      </w:r>
      <w:r w:rsidR="00524319" w:rsidRPr="00524319">
        <w:rPr>
          <w:rFonts w:ascii="Times New Roman" w:hAnsi="Times New Roman" w:cs="Times New Roman"/>
          <w:b/>
          <w:bCs/>
        </w:rPr>
        <w:t xml:space="preserve"> </w:t>
      </w:r>
      <w:r w:rsidR="00524319">
        <w:rPr>
          <w:rFonts w:ascii="Times New Roman" w:hAnsi="Times New Roman" w:cs="Times New Roman"/>
          <w:b/>
          <w:bCs/>
        </w:rPr>
        <w:t>M34</w:t>
      </w:r>
    </w:p>
    <w:p w14:paraId="3A7368D4" w14:textId="6398AA77" w:rsidR="006829F5" w:rsidRPr="00524319" w:rsidRDefault="00A20A77" w:rsidP="00126E42">
      <w:pPr>
        <w:pStyle w:val="ListParagraph"/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</w:rPr>
      </w:pPr>
      <w:r w:rsidRPr="00A20A77">
        <w:rPr>
          <w:rFonts w:ascii="Times New Roman" w:eastAsia="Times New Roman" w:hAnsi="Times New Roman" w:cs="Times New Roman"/>
        </w:rPr>
        <w:t>Tóth, T. (2017</w:t>
      </w:r>
      <w:r w:rsidR="00126E42">
        <w:rPr>
          <w:rFonts w:ascii="Times New Roman" w:eastAsia="Times New Roman" w:hAnsi="Times New Roman" w:cs="Times New Roman"/>
        </w:rPr>
        <w:t>b</w:t>
      </w:r>
      <w:r w:rsidRPr="00A20A77">
        <w:rPr>
          <w:rFonts w:ascii="Times New Roman" w:eastAsia="Times New Roman" w:hAnsi="Times New Roman" w:cs="Times New Roman"/>
        </w:rPr>
        <w:t>).</w:t>
      </w:r>
      <w:r w:rsidRPr="00A20A77">
        <w:rPr>
          <w:rFonts w:ascii="Times New Roman" w:hAnsi="Times New Roman" w:cs="Times New Roman"/>
        </w:rPr>
        <w:t xml:space="preserve"> Nyelvi manipulációk elemzése Aleksandar Vučić és Orbán Viktor 2014-es választási kampányában. </w:t>
      </w:r>
      <w:r w:rsidRPr="00A20A77">
        <w:rPr>
          <w:rFonts w:ascii="Times New Roman" w:eastAsia="Times New Roman" w:hAnsi="Times New Roman" w:cs="Times New Roman"/>
          <w:i/>
          <w:iCs/>
        </w:rPr>
        <w:t>16. VMTDK-rezümékötet</w:t>
      </w:r>
      <w:r w:rsidRPr="00A20A77">
        <w:rPr>
          <w:rFonts w:ascii="Times New Roman" w:hAnsi="Times New Roman" w:cs="Times New Roman"/>
        </w:rPr>
        <w:t>, 147.</w:t>
      </w:r>
      <w:r w:rsidR="00524319">
        <w:rPr>
          <w:rFonts w:ascii="Times New Roman" w:hAnsi="Times New Roman" w:cs="Times New Roman"/>
        </w:rPr>
        <w:t xml:space="preserve"> </w:t>
      </w:r>
      <w:r w:rsidR="00524319">
        <w:rPr>
          <w:rFonts w:ascii="Times New Roman" w:hAnsi="Times New Roman" w:cs="Times New Roman"/>
          <w:b/>
          <w:bCs/>
        </w:rPr>
        <w:t>M64</w:t>
      </w:r>
    </w:p>
    <w:p w14:paraId="64E833D0" w14:textId="46D71B12" w:rsidR="00213965" w:rsidRPr="00126E42" w:rsidRDefault="00A20A77" w:rsidP="00126E42">
      <w:pPr>
        <w:pStyle w:val="ListParagraph"/>
        <w:spacing w:after="0" w:line="360" w:lineRule="auto"/>
        <w:ind w:hanging="720"/>
        <w:jc w:val="both"/>
        <w:rPr>
          <w:rFonts w:ascii="Times New Roman" w:hAnsi="Times New Roman" w:cs="Times New Roman"/>
          <w:lang w:val="hu-HU"/>
        </w:rPr>
      </w:pPr>
      <w:r w:rsidRPr="00A20A77">
        <w:rPr>
          <w:rFonts w:ascii="Times New Roman" w:hAnsi="Times New Roman" w:cs="Times New Roman"/>
        </w:rPr>
        <w:t xml:space="preserve">Tóth, T. (2016). A káromkodáskultúra vizsgálata egy Végel-regényben. </w:t>
      </w:r>
      <w:r w:rsidRPr="00A20A77">
        <w:rPr>
          <w:rFonts w:ascii="Times New Roman" w:hAnsi="Times New Roman" w:cs="Times New Roman"/>
          <w:i/>
          <w:iCs/>
        </w:rPr>
        <w:t>24. Egyetemi Nyelvészeti Napok: Penavin Olga 100. Nemzetközi tudományos konferencia</w:t>
      </w:r>
      <w:r w:rsidRPr="00A20A77">
        <w:rPr>
          <w:rFonts w:ascii="Times New Roman" w:hAnsi="Times New Roman" w:cs="Times New Roman"/>
        </w:rPr>
        <w:t>. Újvidék, 61.</w:t>
      </w:r>
      <w:r w:rsidR="00524319" w:rsidRPr="00524319">
        <w:rPr>
          <w:rFonts w:ascii="Times New Roman" w:hAnsi="Times New Roman" w:cs="Times New Roman"/>
          <w:b/>
          <w:bCs/>
        </w:rPr>
        <w:t xml:space="preserve"> </w:t>
      </w:r>
      <w:r w:rsidR="00524319">
        <w:rPr>
          <w:rFonts w:ascii="Times New Roman" w:hAnsi="Times New Roman" w:cs="Times New Roman"/>
          <w:b/>
          <w:bCs/>
        </w:rPr>
        <w:t>M34</w:t>
      </w:r>
    </w:p>
    <w:p w14:paraId="1E5AFB9E" w14:textId="187BDA22" w:rsidR="00213965" w:rsidRPr="00CB4724" w:rsidRDefault="00A20A77" w:rsidP="00126E42">
      <w:pPr>
        <w:pStyle w:val="ListParagraph"/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  <w:lang w:val="hu-HU"/>
        </w:rPr>
      </w:pPr>
      <w:r w:rsidRPr="00A20A77">
        <w:rPr>
          <w:rFonts w:ascii="Times New Roman" w:hAnsi="Times New Roman" w:cs="Times New Roman"/>
        </w:rPr>
        <w:t xml:space="preserve">Tóth, T. (2014). A síremlékek szemiotikai vizsgálata a magyar és a szerb kultúrában. </w:t>
      </w:r>
      <w:r w:rsidRPr="00A20A77">
        <w:rPr>
          <w:rFonts w:ascii="Times New Roman" w:hAnsi="Times New Roman" w:cs="Times New Roman"/>
          <w:i/>
          <w:iCs/>
        </w:rPr>
        <w:t>13. VMTDK-rezümékötet</w:t>
      </w:r>
      <w:r w:rsidRPr="00A20A77">
        <w:rPr>
          <w:rFonts w:ascii="Times New Roman" w:hAnsi="Times New Roman" w:cs="Times New Roman"/>
        </w:rPr>
        <w:t>, 193.</w:t>
      </w:r>
      <w:r w:rsidR="00524319">
        <w:rPr>
          <w:rFonts w:ascii="Times New Roman" w:hAnsi="Times New Roman" w:cs="Times New Roman"/>
        </w:rPr>
        <w:t xml:space="preserve"> </w:t>
      </w:r>
      <w:r w:rsidR="00524319">
        <w:rPr>
          <w:rFonts w:ascii="Times New Roman" w:hAnsi="Times New Roman" w:cs="Times New Roman"/>
          <w:b/>
          <w:bCs/>
        </w:rPr>
        <w:t>M64</w:t>
      </w:r>
    </w:p>
    <w:sectPr w:rsidR="00213965" w:rsidRPr="00CB47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B50D2"/>
    <w:multiLevelType w:val="hybridMultilevel"/>
    <w:tmpl w:val="FFCCDD2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F73466"/>
    <w:multiLevelType w:val="hybridMultilevel"/>
    <w:tmpl w:val="F7F07522"/>
    <w:lvl w:ilvl="0" w:tplc="21BA21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107F7"/>
    <w:multiLevelType w:val="hybridMultilevel"/>
    <w:tmpl w:val="82DEED8C"/>
    <w:lvl w:ilvl="0" w:tplc="F7F880DE">
      <w:start w:val="1"/>
      <w:numFmt w:val="decimal"/>
      <w:lvlText w:val="%1."/>
      <w:lvlJc w:val="left"/>
      <w:pPr>
        <w:tabs>
          <w:tab w:val="num" w:pos="624"/>
        </w:tabs>
        <w:ind w:left="624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A567BC"/>
    <w:multiLevelType w:val="hybridMultilevel"/>
    <w:tmpl w:val="869A2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E192B"/>
    <w:multiLevelType w:val="hybridMultilevel"/>
    <w:tmpl w:val="FFCCDD2C"/>
    <w:lvl w:ilvl="0" w:tplc="DF288C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D609C6"/>
    <w:multiLevelType w:val="hybridMultilevel"/>
    <w:tmpl w:val="AF643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751313"/>
    <w:multiLevelType w:val="hybridMultilevel"/>
    <w:tmpl w:val="49024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987017">
    <w:abstractNumId w:val="6"/>
  </w:num>
  <w:num w:numId="2" w16cid:durableId="805394192">
    <w:abstractNumId w:val="3"/>
  </w:num>
  <w:num w:numId="3" w16cid:durableId="1355691410">
    <w:abstractNumId w:val="5"/>
  </w:num>
  <w:num w:numId="4" w16cid:durableId="780881344">
    <w:abstractNumId w:val="1"/>
  </w:num>
  <w:num w:numId="5" w16cid:durableId="497965588">
    <w:abstractNumId w:val="4"/>
  </w:num>
  <w:num w:numId="6" w16cid:durableId="1284732436">
    <w:abstractNumId w:val="2"/>
  </w:num>
  <w:num w:numId="7" w16cid:durableId="1564679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199"/>
    <w:rsid w:val="00085731"/>
    <w:rsid w:val="00105B73"/>
    <w:rsid w:val="00126E42"/>
    <w:rsid w:val="00176D3A"/>
    <w:rsid w:val="001F22CA"/>
    <w:rsid w:val="00213965"/>
    <w:rsid w:val="002830C0"/>
    <w:rsid w:val="002C2322"/>
    <w:rsid w:val="00376278"/>
    <w:rsid w:val="003D6B67"/>
    <w:rsid w:val="003F2CD1"/>
    <w:rsid w:val="00464460"/>
    <w:rsid w:val="004A5892"/>
    <w:rsid w:val="004D17D2"/>
    <w:rsid w:val="004D6B9D"/>
    <w:rsid w:val="00524319"/>
    <w:rsid w:val="005B1B0A"/>
    <w:rsid w:val="006829F5"/>
    <w:rsid w:val="006A148F"/>
    <w:rsid w:val="007C1600"/>
    <w:rsid w:val="007F5543"/>
    <w:rsid w:val="0089438F"/>
    <w:rsid w:val="0099505B"/>
    <w:rsid w:val="009E025C"/>
    <w:rsid w:val="00A20A77"/>
    <w:rsid w:val="00A45188"/>
    <w:rsid w:val="00A97199"/>
    <w:rsid w:val="00B2262B"/>
    <w:rsid w:val="00B35EBF"/>
    <w:rsid w:val="00BA7F75"/>
    <w:rsid w:val="00BB44E4"/>
    <w:rsid w:val="00BD7997"/>
    <w:rsid w:val="00C3374C"/>
    <w:rsid w:val="00CB4724"/>
    <w:rsid w:val="00CC0BC5"/>
    <w:rsid w:val="00D05057"/>
    <w:rsid w:val="00D63327"/>
    <w:rsid w:val="00E122D7"/>
    <w:rsid w:val="00F01A44"/>
    <w:rsid w:val="00F26072"/>
    <w:rsid w:val="00F3499F"/>
    <w:rsid w:val="00F76067"/>
    <w:rsid w:val="00F76F13"/>
    <w:rsid w:val="00F85256"/>
    <w:rsid w:val="00FD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D1529"/>
  <w15:chartTrackingRefBased/>
  <w15:docId w15:val="{AAD6CE18-99DA-486F-8280-E67DE320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543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19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19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19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19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19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19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19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19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19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1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1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1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19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19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1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1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1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1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71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971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19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971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719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971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719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719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1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19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719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F5543"/>
    <w:rPr>
      <w:color w:val="0000FF"/>
      <w:u w:val="single"/>
    </w:rPr>
  </w:style>
  <w:style w:type="paragraph" w:styleId="TOC1">
    <w:name w:val="toc 1"/>
    <w:basedOn w:val="Normal"/>
    <w:uiPriority w:val="1"/>
    <w:qFormat/>
    <w:rsid w:val="007F5543"/>
    <w:pPr>
      <w:widowControl w:val="0"/>
      <w:spacing w:before="131"/>
      <w:ind w:left="113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F55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2026-08-08T12:15:00Z</dcterms:created>
  <dcterms:modified xsi:type="dcterms:W3CDTF">2026-08-17T10:18:00Z</dcterms:modified>
</cp:coreProperties>
</file>